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63" w:rsidRDefault="00850063">
      <w:pPr>
        <w:pStyle w:val="1"/>
      </w:pPr>
      <w:r>
        <w:fldChar w:fldCharType="begin"/>
      </w:r>
      <w:r>
        <w:instrText>HYPERLINK "http://internet.garant.ru/document/redirect/46534864/0"</w:instrText>
      </w:r>
      <w:r>
        <w:fldChar w:fldCharType="separate"/>
      </w:r>
      <w:r w:rsidR="00B56FF0">
        <w:rPr>
          <w:rStyle w:val="a4"/>
        </w:rPr>
        <w:t>Приказ Департамента здравоохранения Тюменской области от 14 июня 2018 г. N 376 "О взаимодействии медицинских организаций Тюменской области при оказании специализированной помощи при инфекционных заболеваниях"</w:t>
      </w:r>
      <w:r>
        <w:fldChar w:fldCharType="end"/>
      </w:r>
    </w:p>
    <w:p w:rsidR="00850063" w:rsidRDefault="00850063"/>
    <w:p w:rsidR="00850063" w:rsidRDefault="00B56FF0">
      <w:r>
        <w:t xml:space="preserve">В целях совершенствования организации специализированной медицинской помощи при инфекционных заболеваниях жителям Тюменской области, в соответствии с </w:t>
      </w:r>
      <w:hyperlink r:id="rId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31.01.2012 N 69н "Об утверждении Порядка оказания медицинской помощи взрослым больным при инфекционных заболеваниях" (далее - Приказ МЗ РФ от 31.01.2012 N 69н) приказываю:</w:t>
      </w:r>
    </w:p>
    <w:p w:rsidR="00850063" w:rsidRDefault="00B56FF0">
      <w:r>
        <w:t>Утвердить:</w:t>
      </w:r>
    </w:p>
    <w:p w:rsidR="00850063" w:rsidRDefault="00B56FF0">
      <w:bookmarkStart w:id="0" w:name="sub_11"/>
      <w:r>
        <w:t xml:space="preserve">1.1. Порядок взаимодействия медицинских организаций Тюменской области при оказании медицинской помощи взрослому населению при инфекционных заболеваниях в соответствии с </w:t>
      </w:r>
      <w:hyperlink w:anchor="sub_1000" w:history="1">
        <w:r>
          <w:rPr>
            <w:rStyle w:val="a4"/>
          </w:rPr>
          <w:t>приложением N 1</w:t>
        </w:r>
      </w:hyperlink>
      <w:r>
        <w:t xml:space="preserve"> к настоящему приказу;</w:t>
      </w:r>
    </w:p>
    <w:bookmarkEnd w:id="0"/>
    <w:p w:rsidR="00850063" w:rsidRDefault="00B56FF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850063" w:rsidRDefault="00B56FF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пунктов приводится в соответствии с источником </w:t>
      </w:r>
    </w:p>
    <w:p w:rsidR="00850063" w:rsidRDefault="00B56FF0">
      <w:bookmarkStart w:id="1" w:name="sub_2"/>
      <w:r>
        <w:t>2. Руководителям медицинских организаций, подведомственных Департаменту здравоохранения Тюменской области обеспечить:</w:t>
      </w:r>
    </w:p>
    <w:p w:rsidR="00850063" w:rsidRDefault="00B56FF0">
      <w:bookmarkStart w:id="2" w:name="sub_21"/>
      <w:bookmarkEnd w:id="1"/>
      <w:r>
        <w:t xml:space="preserve">2.1. доведение </w:t>
      </w:r>
      <w:hyperlink r:id="rId8" w:history="1">
        <w:r>
          <w:rPr>
            <w:rStyle w:val="a4"/>
          </w:rPr>
          <w:t>Приказа</w:t>
        </w:r>
      </w:hyperlink>
      <w:r>
        <w:t xml:space="preserve"> МЗ РФ от 31.01.2012 N 69н до врачей-специалистов медицинской организации;</w:t>
      </w:r>
    </w:p>
    <w:p w:rsidR="00850063" w:rsidRDefault="00B56FF0">
      <w:bookmarkStart w:id="3" w:name="sub_22"/>
      <w:bookmarkEnd w:id="2"/>
      <w:r>
        <w:t xml:space="preserve">2.2. организацию оказания медицинской помощи взрослому населению при инфекционных заболеваниях в соответствии с </w:t>
      </w:r>
      <w:hyperlink r:id="rId9" w:history="1">
        <w:r>
          <w:rPr>
            <w:rStyle w:val="a4"/>
          </w:rPr>
          <w:t>Приказом</w:t>
        </w:r>
      </w:hyperlink>
      <w:r>
        <w:t xml:space="preserve"> МЗ РФ от 31.01.2012 N 69н и </w:t>
      </w:r>
      <w:hyperlink w:anchor="sub_1000" w:history="1">
        <w:r>
          <w:rPr>
            <w:rStyle w:val="a4"/>
          </w:rPr>
          <w:t>приложением N 1</w:t>
        </w:r>
      </w:hyperlink>
      <w:r>
        <w:t xml:space="preserve"> к настоящему приказу.</w:t>
      </w:r>
    </w:p>
    <w:p w:rsidR="00850063" w:rsidRDefault="00B56FF0">
      <w:bookmarkStart w:id="4" w:name="sub_23"/>
      <w:bookmarkEnd w:id="3"/>
      <w:r>
        <w:t>2.3. назначение специалистов, ответственных за оказание медицинской помощи при инфекционных заболеваниях (врачей-инфекционистов, врачей-терапевтов);</w:t>
      </w:r>
    </w:p>
    <w:p w:rsidR="00850063" w:rsidRDefault="00B56FF0">
      <w:bookmarkStart w:id="5" w:name="sub_3"/>
      <w:bookmarkEnd w:id="4"/>
      <w:r>
        <w:t>3. Главному внештатному специалисту по инфекционным болезням Департамента здравоохранения Тюменской области обеспечить организационно-методическую помощь специалистам, ответственным за оказание медицинской помощи при инфекционных болезнях;</w:t>
      </w:r>
    </w:p>
    <w:p w:rsidR="00850063" w:rsidRDefault="00B56FF0">
      <w:bookmarkStart w:id="6" w:name="sub_4"/>
      <w:bookmarkEnd w:id="5"/>
      <w:r>
        <w:t>4. Возложить персональную ответственность за исполнение настоящего приказа на руководителей медицинских организаций, подведомственных Департаменту здравоохранения Тюменской области.</w:t>
      </w:r>
    </w:p>
    <w:p w:rsidR="00850063" w:rsidRDefault="00B56FF0">
      <w:bookmarkStart w:id="7" w:name="sub_5"/>
      <w:bookmarkEnd w:id="6"/>
      <w:r>
        <w:t xml:space="preserve">5. Рекомендовать директору </w:t>
      </w:r>
      <w:proofErr w:type="gramStart"/>
      <w:r>
        <w:t>Департамента здравоохранения Администрации города Тюмени</w:t>
      </w:r>
      <w:proofErr w:type="gramEnd"/>
      <w:r>
        <w:t xml:space="preserve"> обеспечить исполнение настоящего приказа.</w:t>
      </w:r>
    </w:p>
    <w:p w:rsidR="00850063" w:rsidRDefault="00B56FF0">
      <w:bookmarkStart w:id="8" w:name="sub_6"/>
      <w:bookmarkEnd w:id="7"/>
      <w:r>
        <w:t xml:space="preserve">6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sub_11" w:history="1">
        <w:r>
          <w:rPr>
            <w:rStyle w:val="a4"/>
          </w:rPr>
          <w:t>пунктов 1 - 3</w:t>
        </w:r>
      </w:hyperlink>
      <w:r>
        <w:t xml:space="preserve"> настоящего приказа оставляю за собой.</w:t>
      </w:r>
    </w:p>
    <w:bookmarkEnd w:id="8"/>
    <w:p w:rsidR="00850063" w:rsidRDefault="0085006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85006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50063" w:rsidRDefault="00B56FF0">
            <w:pPr>
              <w:pStyle w:val="a9"/>
            </w:pPr>
            <w:r>
              <w:t>Директор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50063" w:rsidRDefault="00B56FF0">
            <w:pPr>
              <w:pStyle w:val="a7"/>
              <w:jc w:val="right"/>
            </w:pPr>
            <w:r>
              <w:t>И.Б. Куликова</w:t>
            </w:r>
          </w:p>
        </w:tc>
      </w:tr>
    </w:tbl>
    <w:p w:rsidR="00850063" w:rsidRDefault="00850063"/>
    <w:p w:rsidR="00850063" w:rsidRDefault="00B56FF0">
      <w:pPr>
        <w:jc w:val="right"/>
        <w:rPr>
          <w:rStyle w:val="a3"/>
          <w:rFonts w:ascii="Arial" w:hAnsi="Arial" w:cs="Arial"/>
        </w:rPr>
      </w:pPr>
      <w:bookmarkStart w:id="9" w:name="sub_1000"/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Департамента 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14 июня 2018 г. N 376</w:t>
      </w:r>
    </w:p>
    <w:bookmarkEnd w:id="9"/>
    <w:p w:rsidR="00850063" w:rsidRDefault="00850063"/>
    <w:p w:rsidR="00850063" w:rsidRDefault="00B56FF0">
      <w:pPr>
        <w:pStyle w:val="1"/>
      </w:pPr>
      <w:r>
        <w:t>Порядок</w:t>
      </w:r>
      <w:r>
        <w:br/>
        <w:t>взаимодействия медицинских организаций Тюменской области при оказании медицинской помощи взрослому населению при инфекционных заболеваниях</w:t>
      </w:r>
    </w:p>
    <w:p w:rsidR="00850063" w:rsidRDefault="00850063"/>
    <w:p w:rsidR="00850063" w:rsidRDefault="00B56FF0">
      <w:proofErr w:type="gramStart"/>
      <w:r>
        <w:t xml:space="preserve">Настоящий Порядок взаимодействия медицинских организаций Тюменской области при оказании медицинской помощи взрослому населению при инфекционных болезнях (далее - </w:t>
      </w:r>
      <w:r>
        <w:lastRenderedPageBreak/>
        <w:t xml:space="preserve">Порядок) разработан в соответствии с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31.01.2012 N 69н "Об утверждении Порядка оказания медицинской помощи взрослым больным при инфекционных заболеваниях" и определяет алгоритм взаимодействия медицинских организаций Тюменской области при оказании медицинской помощи взрослому населению при</w:t>
      </w:r>
      <w:proofErr w:type="gramEnd"/>
      <w:r>
        <w:t xml:space="preserve"> инфекционных </w:t>
      </w:r>
      <w:proofErr w:type="gramStart"/>
      <w:r>
        <w:t>заболеваниях</w:t>
      </w:r>
      <w:proofErr w:type="gramEnd"/>
      <w:r>
        <w:t xml:space="preserve"> в соответствии с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к Порядку.</w:t>
      </w:r>
    </w:p>
    <w:p w:rsidR="00850063" w:rsidRDefault="00B56FF0">
      <w:r>
        <w:t>Виды медицинской помощи взрослому населению при инфекционных заболеваниях:</w:t>
      </w:r>
    </w:p>
    <w:p w:rsidR="00850063" w:rsidRDefault="00B56FF0">
      <w:bookmarkStart w:id="10" w:name="sub_1001"/>
      <w:r>
        <w:t>1. Первичное звено, представленное врачом общей практики (участковым врачом-терапевтом).</w:t>
      </w:r>
    </w:p>
    <w:p w:rsidR="00850063" w:rsidRDefault="00B56FF0">
      <w:bookmarkStart w:id="11" w:name="sub_1002"/>
      <w:bookmarkEnd w:id="10"/>
      <w:r>
        <w:t>2. Кабинеты инфекционных заболеваний (</w:t>
      </w:r>
      <w:proofErr w:type="spellStart"/>
      <w:r>
        <w:t>КИЗы</w:t>
      </w:r>
      <w:proofErr w:type="spellEnd"/>
      <w:r>
        <w:t>) при поликлиниках (участвуют в реализации настоящего приказа по согласованию).</w:t>
      </w:r>
    </w:p>
    <w:p w:rsidR="00850063" w:rsidRDefault="00B56FF0">
      <w:bookmarkStart w:id="12" w:name="sub_1003"/>
      <w:bookmarkEnd w:id="11"/>
      <w:r>
        <w:t xml:space="preserve">3. Инфекционные отделения при областных больницах и </w:t>
      </w:r>
      <w:proofErr w:type="spellStart"/>
      <w:r>
        <w:t>КИЗы</w:t>
      </w:r>
      <w:proofErr w:type="spellEnd"/>
      <w:r>
        <w:t xml:space="preserve"> в районах.</w:t>
      </w:r>
    </w:p>
    <w:p w:rsidR="00850063" w:rsidRDefault="00B56FF0">
      <w:bookmarkStart w:id="13" w:name="sub_1004"/>
      <w:bookmarkEnd w:id="12"/>
      <w:r>
        <w:t>4. Специализированный инфекционный стационар - ГБУЗ ТО "Областная инфекционная клиническая больница".</w:t>
      </w:r>
    </w:p>
    <w:bookmarkEnd w:id="13"/>
    <w:p w:rsidR="00850063" w:rsidRDefault="00B56FF0">
      <w:r>
        <w:t>Этапы носят замкнутый характер, так как пациент с инфекционной патологией в процессе диагностики и терапии вновь обращается к врачу общей практики (участковый) для контроля лечения и/или реабилитации.</w:t>
      </w:r>
    </w:p>
    <w:p w:rsidR="00850063" w:rsidRDefault="00B56FF0">
      <w:r>
        <w:t>Скорая медицинская помощь при инфекционных заболеваниях.</w:t>
      </w:r>
    </w:p>
    <w:p w:rsidR="00850063" w:rsidRDefault="00B56FF0">
      <w:r>
        <w:t xml:space="preserve">Скорая медицинская помощь при инфекционных заболеваниях оказывается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31.01.2012 N 69н "Об утверждении Порядка оказания медицинской помощи взрослым больным при инфекционных заболеваниях" с учетом следующей особенности:</w:t>
      </w:r>
    </w:p>
    <w:p w:rsidR="00850063" w:rsidRDefault="00B56FF0">
      <w:proofErr w:type="gramStart"/>
      <w:r>
        <w:t xml:space="preserve">Бригада скорой медицинской помощи доставляет больных с угрожающими жизни состояниями в ГБУЗ ТО "Областная инфекционная клиническая больница" и в инфекционные отделения областных территориальных больниц имеющих инфекционные отделения в соответствии с </w:t>
      </w:r>
      <w:hyperlink w:anchor="sub_1100" w:history="1">
        <w:r>
          <w:rPr>
            <w:rStyle w:val="a4"/>
          </w:rPr>
          <w:t>приложением N 1</w:t>
        </w:r>
      </w:hyperlink>
      <w:r>
        <w:t xml:space="preserve"> к настоящему Порядку и распределения по территориальному принципу.</w:t>
      </w:r>
      <w:proofErr w:type="gramEnd"/>
    </w:p>
    <w:p w:rsidR="00850063" w:rsidRDefault="00B56FF0">
      <w:r>
        <w:t xml:space="preserve">Первичная медико-санитарная помощь оказывается в амбулаторных условиях в медицинской организации по </w:t>
      </w:r>
      <w:proofErr w:type="gramStart"/>
      <w:r>
        <w:t>территориально-участковому</w:t>
      </w:r>
      <w:proofErr w:type="gramEnd"/>
    </w:p>
    <w:p w:rsidR="00850063" w:rsidRDefault="00B56FF0">
      <w:r>
        <w:t xml:space="preserve">принципу. Осуществляется врачом-терапевтом, врачом-инфекционистом кабинета </w:t>
      </w:r>
      <w:proofErr w:type="gramStart"/>
      <w:r>
        <w:t>инфекционных</w:t>
      </w:r>
      <w:proofErr w:type="gramEnd"/>
      <w:r>
        <w:t xml:space="preserve"> заболевания (далее - КИЗ), в соответствии со стандартами оказания медицинской помощи.</w:t>
      </w:r>
    </w:p>
    <w:p w:rsidR="00850063" w:rsidRDefault="00B56FF0">
      <w:bookmarkStart w:id="14" w:name="sub_1021"/>
      <w:r>
        <w:t xml:space="preserve">2.1. Врач </w:t>
      </w:r>
      <w:proofErr w:type="spellStart"/>
      <w:r>
        <w:t>КИЗа</w:t>
      </w:r>
      <w:proofErr w:type="spellEnd"/>
      <w:r>
        <w:t xml:space="preserve"> обеспечивает:</w:t>
      </w:r>
    </w:p>
    <w:bookmarkEnd w:id="14"/>
    <w:p w:rsidR="00850063" w:rsidRDefault="00B56FF0">
      <w:r>
        <w:t>- консультативную помощь больным в поликлинике и на дому с целью уточнения диагноза, назначения диагностических, лечебных и профилактических мероприятий, в случае необходимости - решения о госпитализации по клиническим и/или эпидемиологическим показаниям.</w:t>
      </w:r>
    </w:p>
    <w:p w:rsidR="00850063" w:rsidRDefault="00B56FF0">
      <w:r>
        <w:t xml:space="preserve">- контролирующую функцию за порядком обследования пациентов с подозрением на инфекционное заболевание и/или с целью </w:t>
      </w:r>
      <w:proofErr w:type="spellStart"/>
      <w:r>
        <w:t>эпиднадзора</w:t>
      </w:r>
      <w:proofErr w:type="spellEnd"/>
      <w:r>
        <w:t xml:space="preserve"> за возможным возникновением инфекционного заболевания (например, 100%-ное обследование на дифтерию всех больных с ангинами, на </w:t>
      </w:r>
      <w:proofErr w:type="spellStart"/>
      <w:proofErr w:type="gramStart"/>
      <w:r>
        <w:t>тифо-паратифозные</w:t>
      </w:r>
      <w:proofErr w:type="spellEnd"/>
      <w:proofErr w:type="gramEnd"/>
      <w:r>
        <w:t xml:space="preserve"> заболевания всех длительно лихорадящих и др.).</w:t>
      </w:r>
    </w:p>
    <w:p w:rsidR="00850063" w:rsidRDefault="00B56FF0">
      <w:r>
        <w:t>- обучающую функцию по повышению уровня знаний врачей общей практики по вопросам инфекционной патологии.</w:t>
      </w:r>
    </w:p>
    <w:p w:rsidR="00850063" w:rsidRDefault="00B56FF0">
      <w:r>
        <w:t xml:space="preserve">- диспансерное наблюдение за </w:t>
      </w:r>
      <w:proofErr w:type="spellStart"/>
      <w:r>
        <w:t>реконвалесцентами</w:t>
      </w:r>
      <w:proofErr w:type="spellEnd"/>
      <w:r>
        <w:t xml:space="preserve"> инфекционных заболеваний, за больными хроническими инфекционными заболеваниями и </w:t>
      </w:r>
      <w:proofErr w:type="spellStart"/>
      <w:r>
        <w:t>бактерионосителями</w:t>
      </w:r>
      <w:proofErr w:type="spellEnd"/>
      <w:r>
        <w:t>.</w:t>
      </w:r>
    </w:p>
    <w:p w:rsidR="00850063" w:rsidRDefault="00B56FF0">
      <w:r>
        <w:t xml:space="preserve">- ведение учета больных инфекционными заболеваниями, </w:t>
      </w:r>
      <w:proofErr w:type="spellStart"/>
      <w:r>
        <w:t>бактерионосителями</w:t>
      </w:r>
      <w:proofErr w:type="spellEnd"/>
      <w:r>
        <w:t xml:space="preserve"> и </w:t>
      </w:r>
      <w:proofErr w:type="spellStart"/>
      <w:r>
        <w:t>паразитоносителями</w:t>
      </w:r>
      <w:proofErr w:type="spellEnd"/>
      <w:r>
        <w:t xml:space="preserve">; анализ инфекционной заболеваемости и смертности, эффективности диагностических и лечебных мероприятий, </w:t>
      </w:r>
      <w:proofErr w:type="gramStart"/>
      <w:r>
        <w:t>контроль за</w:t>
      </w:r>
      <w:proofErr w:type="gramEnd"/>
      <w:r>
        <w:t xml:space="preserve"> выполнением плана проведения профилактических прививок как в целом по поликлинике, так и по отдельным врачебным участкам.</w:t>
      </w:r>
    </w:p>
    <w:p w:rsidR="00850063" w:rsidRDefault="00B56FF0">
      <w:r>
        <w:t>- занимается лечением пациентов с паразитарными заболеваниями и хроническими инфекциями.</w:t>
      </w:r>
    </w:p>
    <w:p w:rsidR="00850063" w:rsidRDefault="00B56FF0">
      <w:r>
        <w:t>- занимается санитарно-просветительной работой по профилактике инфекционных заболеваний.</w:t>
      </w:r>
    </w:p>
    <w:p w:rsidR="00850063" w:rsidRDefault="00B56FF0">
      <w:r>
        <w:lastRenderedPageBreak/>
        <w:t xml:space="preserve">Специализированная помощь больным инфекционными заболеваниями оказывается в ГБУЗ ТО "Областная инфекционная клиническая больница" или в инфекционных отделениях областных территориальных больниц по направлению в соответствии с </w:t>
      </w:r>
      <w:hyperlink w:anchor="sub_1200" w:history="1">
        <w:r>
          <w:rPr>
            <w:rStyle w:val="a4"/>
          </w:rPr>
          <w:t>приложением N 2</w:t>
        </w:r>
      </w:hyperlink>
      <w:r>
        <w:t xml:space="preserve"> к настоящему Порядку и путем самообращения с учетом схемы маршрутизации в соответствии с </w:t>
      </w:r>
      <w:hyperlink w:anchor="sub_1300" w:history="1">
        <w:r>
          <w:rPr>
            <w:rStyle w:val="a4"/>
          </w:rPr>
          <w:t>приложением 3</w:t>
        </w:r>
      </w:hyperlink>
      <w:r>
        <w:t>.</w:t>
      </w:r>
    </w:p>
    <w:p w:rsidR="00850063" w:rsidRDefault="00B56FF0">
      <w:r>
        <w:t>Показания для госпитализации пациентов:</w:t>
      </w:r>
    </w:p>
    <w:p w:rsidR="00850063" w:rsidRDefault="00B56FF0">
      <w:r>
        <w:t>Клинические показания:</w:t>
      </w:r>
    </w:p>
    <w:p w:rsidR="00850063" w:rsidRDefault="00B56FF0">
      <w:r>
        <w:t>- пациенты с тяжелыми формами любых инфекционных заболеваний</w:t>
      </w:r>
    </w:p>
    <w:p w:rsidR="00850063" w:rsidRDefault="00B56FF0">
      <w:r>
        <w:t>- лица моложе 3 и старше 60 лет со среднетяжелыми формами инфекционных болезней</w:t>
      </w:r>
    </w:p>
    <w:p w:rsidR="00850063" w:rsidRDefault="00B56FF0">
      <w:r>
        <w:t>- пациенты с острыми инфекционными заболеваниями любой степени тяжести при условии наличия у них сопутствующих хронических неинфекционных заболеваний (ИБС, ХОБЛ, сахарный диабет и т.п.), имеющие высокую вероятность обострения/декомпенсации вследствие присоединения острой инфекционной патологии</w:t>
      </w:r>
    </w:p>
    <w:p w:rsidR="00850063" w:rsidRDefault="00B56FF0">
      <w:r>
        <w:t>- отсутствие эффекта и/или ухудшение на фоне проводимой терапии на амбулаторном этапе.</w:t>
      </w:r>
    </w:p>
    <w:p w:rsidR="00850063" w:rsidRDefault="00B56FF0">
      <w:r>
        <w:t>Эпидемиологические показания:</w:t>
      </w:r>
    </w:p>
    <w:p w:rsidR="00850063" w:rsidRDefault="00B56FF0">
      <w:r>
        <w:t>- пациентов с любой степенью тяжести инфекционных заболеваний, если</w:t>
      </w:r>
    </w:p>
    <w:p w:rsidR="00850063" w:rsidRDefault="00B56FF0">
      <w:r>
        <w:t xml:space="preserve">указанные пациенты представляют эпидемическую опасность и должны быть изолированы из коллектива в условиях стационара. </w:t>
      </w:r>
      <w:proofErr w:type="gramStart"/>
      <w:r>
        <w:t>К заболеваниям, представляющим эпидемическую опасность, относятся особо опасные инфекции (чума, холера, желтая лихорадка), геморрагические лихорадки с неизвестным резервуаром инфекции (</w:t>
      </w:r>
      <w:proofErr w:type="spellStart"/>
      <w:r>
        <w:t>Ласса</w:t>
      </w:r>
      <w:proofErr w:type="spellEnd"/>
      <w:r>
        <w:t xml:space="preserve">, Марбурга, </w:t>
      </w:r>
      <w:proofErr w:type="spellStart"/>
      <w:r>
        <w:t>Эбола</w:t>
      </w:r>
      <w:proofErr w:type="spellEnd"/>
      <w:r>
        <w:t xml:space="preserve">), </w:t>
      </w:r>
      <w:proofErr w:type="spellStart"/>
      <w:r>
        <w:t>высококонтагиозные</w:t>
      </w:r>
      <w:proofErr w:type="spellEnd"/>
      <w:r>
        <w:t xml:space="preserve"> респираторные инфекции (ветряная оспа, корь, краснуха, скарлатина, эпидемический паротит, дифтерия и т. п.).</w:t>
      </w:r>
      <w:proofErr w:type="gramEnd"/>
    </w:p>
    <w:p w:rsidR="00850063" w:rsidRDefault="00B56FF0">
      <w:r>
        <w:t xml:space="preserve">- пациенты из закрытых учреждений (солдаты, заключенные, пациенты стационаров для </w:t>
      </w:r>
      <w:proofErr w:type="spellStart"/>
      <w:r>
        <w:t>психохроников</w:t>
      </w:r>
      <w:proofErr w:type="spellEnd"/>
      <w:r>
        <w:t>, больниц сестринского ухода, домов престарелых, студенты, проживающие в общежитиях, и т.п.), любой из перечисленных пациентов госпитализируется при первых признаках инфекционных заболеваний, оговоренных в специальных нормативных документах, и получают стационарное лечение до полного выздоровления, подтвержденного повторными отрицательными результатами бактериологических исследований.</w:t>
      </w:r>
    </w:p>
    <w:p w:rsidR="00850063" w:rsidRDefault="00B56FF0">
      <w:proofErr w:type="gramStart"/>
      <w:r>
        <w:t xml:space="preserve">- пациенты, относящиеся к "декретированному контингенту" (работники предприятий пищевой промышленности, имеющие непосредственное отношение к приготовлению, упаковке, транспортировке, хранению и реализации продуктов питания; работники водозаборов и артезианских скважин, имеющие непосредственное отношение к забору, очистке и транспортировке/ </w:t>
      </w:r>
      <w:proofErr w:type="spellStart"/>
      <w:r>
        <w:t>бутилированию</w:t>
      </w:r>
      <w:proofErr w:type="spellEnd"/>
      <w:r>
        <w:t xml:space="preserve"> питьевой воды.</w:t>
      </w:r>
      <w:proofErr w:type="gramEnd"/>
      <w:r>
        <w:t xml:space="preserve"> Любой из перечисленных работников госпитализируется при первых признаках инфекционных заболеваний, оговоренных в специальных нормативных документах, и получают стационарное лечение до полного выздоровления, подтвержденного повторными отрицательными результатами бактериологических исследований.</w:t>
      </w:r>
    </w:p>
    <w:p w:rsidR="00850063" w:rsidRDefault="00B56FF0">
      <w:r>
        <w:t>Социальные показания:</w:t>
      </w:r>
    </w:p>
    <w:p w:rsidR="00850063" w:rsidRDefault="00B56FF0">
      <w:r>
        <w:t>По социальным показаниям госпитализируют пациентов с легким либо среднетяжелым течением инфекционных заболеваний, если указанные пациенты, находясь дома, не в состоянии самостоятельно ухаживать за собой и выполнять назначения врача в силу преклонного возраста либо инвалидности 1-2 группы, усугубляемых явлениями инфекционной болезни, при отсутствии совместно проживающих детей и родственников. В дальнейшем в отношении подобных лиц необходимо решать вопрос об установлении над ними патронажа органами социальной опеки.</w:t>
      </w:r>
    </w:p>
    <w:p w:rsidR="00850063" w:rsidRDefault="00850063"/>
    <w:p w:rsidR="00850063" w:rsidRDefault="00B56FF0">
      <w:pPr>
        <w:jc w:val="right"/>
        <w:rPr>
          <w:rStyle w:val="a3"/>
          <w:rFonts w:ascii="Arial" w:hAnsi="Arial" w:cs="Arial"/>
        </w:rPr>
      </w:pPr>
      <w:bookmarkStart w:id="15" w:name="sub_1100"/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br/>
        <w:t>оказания медицинской помощи</w:t>
      </w:r>
      <w:r>
        <w:rPr>
          <w:rStyle w:val="a3"/>
          <w:rFonts w:ascii="Arial" w:hAnsi="Arial" w:cs="Arial"/>
        </w:rPr>
        <w:br/>
        <w:t>взрослому населению при инфекционных</w:t>
      </w:r>
      <w:r>
        <w:rPr>
          <w:rStyle w:val="a3"/>
          <w:rFonts w:ascii="Arial" w:hAnsi="Arial" w:cs="Arial"/>
        </w:rPr>
        <w:br/>
        <w:t xml:space="preserve">заболеваниях, утвержденному </w:t>
      </w:r>
      <w:hyperlink w:anchor="sub_0" w:history="1">
        <w:r>
          <w:rPr>
            <w:rStyle w:val="a4"/>
            <w:rFonts w:ascii="Arial" w:hAnsi="Arial" w:cs="Arial"/>
          </w:rPr>
          <w:t>приказом</w:t>
        </w:r>
      </w:hyperlink>
      <w:r>
        <w:rPr>
          <w:rStyle w:val="a3"/>
          <w:rFonts w:ascii="Arial" w:hAnsi="Arial" w:cs="Arial"/>
        </w:rPr>
        <w:br/>
        <w:t>Департамента 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14 июня 2018 г. N 376</w:t>
      </w:r>
    </w:p>
    <w:bookmarkEnd w:id="15"/>
    <w:p w:rsidR="00850063" w:rsidRDefault="00850063"/>
    <w:p w:rsidR="00850063" w:rsidRDefault="00B56FF0">
      <w:pPr>
        <w:pStyle w:val="1"/>
      </w:pPr>
      <w:r>
        <w:t>Алгоритм</w:t>
      </w:r>
      <w:r>
        <w:br/>
        <w:t>взаимодействия медицинских организаций Тюменской области при выявлении пациентов с инфекционными заболеваниями или подозрением на инфекционное заболевание</w:t>
      </w:r>
    </w:p>
    <w:p w:rsidR="00850063" w:rsidRDefault="00850063"/>
    <w:p w:rsidR="00850063" w:rsidRDefault="00B56FF0">
      <w:bookmarkStart w:id="16" w:name="sub_1101"/>
      <w:r>
        <w:t xml:space="preserve">1. </w:t>
      </w:r>
      <w:proofErr w:type="gramStart"/>
      <w:r>
        <w:t xml:space="preserve">Выявление пациентов с инфекционными заболеваниями или подозрением на инфекционное заболевание осуществляется врачами любой специальности при первичном обращении в поликлиники (городские, районные), медицинские центры семейной медицины, </w:t>
      </w:r>
      <w:proofErr w:type="spellStart"/>
      <w:r>
        <w:t>ФАПы</w:t>
      </w:r>
      <w:proofErr w:type="spellEnd"/>
      <w:r>
        <w:t>, медицинские кабинеты предприятий, средних специальных учреждений, отделений многопрофильных стационаров, а также специализированные диспансеры (ГБУЗ ТО "Областной противотуберкулезный диспансер", ГБУЗ ТО "Областной кожно-венерологический диспансер", ГБУЗ ТО "Центр профилактики и борьбы со СПИД", ГАУЗ ТО "МКМЦ</w:t>
      </w:r>
      <w:proofErr w:type="gramEnd"/>
      <w:r>
        <w:t xml:space="preserve"> "</w:t>
      </w:r>
      <w:proofErr w:type="gramStart"/>
      <w:r>
        <w:t xml:space="preserve">Медицинский город", ББУЗ ТО "Областной наркологический диспансер), ГБУЗ ТО "Перинатальный центр" и роддома, на СП и </w:t>
      </w:r>
      <w:proofErr w:type="spellStart"/>
      <w:r>
        <w:t>санпропускных</w:t>
      </w:r>
      <w:proofErr w:type="spellEnd"/>
      <w:r>
        <w:t xml:space="preserve"> пунктах на границе Тюменской области (аэропорты, ЖД).</w:t>
      </w:r>
      <w:proofErr w:type="gramEnd"/>
    </w:p>
    <w:p w:rsidR="00850063" w:rsidRDefault="00B56FF0">
      <w:bookmarkStart w:id="17" w:name="sub_1102"/>
      <w:bookmarkEnd w:id="16"/>
      <w:r>
        <w:t xml:space="preserve">2. В случае подозрения на инфекционное заболевание обязательна консультация инфекциониста. </w:t>
      </w:r>
      <w:proofErr w:type="gramStart"/>
      <w:r>
        <w:t>При этом врачом или фельдшером определяется степень тяжести пациента для дальнейшей маршрутизации (КИЗ или приемное отделение ГБУЗ ТО "Областная инфекционная клиническая больница" (ОИКБ) или инфекционное отделение в районе.</w:t>
      </w:r>
      <w:proofErr w:type="gramEnd"/>
      <w:r>
        <w:t xml:space="preserve"> При выявлении пациента с диагнозом инфекционного заболевания карта экстренного извещения подается в ФГУЗ "Центр гигиены и эпидемиологии Тюменской области" или его филиалы в течение 24 часов от момента выявления.</w:t>
      </w:r>
    </w:p>
    <w:p w:rsidR="00850063" w:rsidRDefault="00B56FF0">
      <w:bookmarkStart w:id="18" w:name="sub_1103"/>
      <w:bookmarkEnd w:id="17"/>
      <w:r>
        <w:t>3. В случае необходимости госпитализации пациента с инфекционным заболеванием или подозрением на него транспортировка осуществляется бригадой СП или санитарным транспортом.</w:t>
      </w:r>
    </w:p>
    <w:p w:rsidR="00850063" w:rsidRDefault="00B56FF0">
      <w:bookmarkStart w:id="19" w:name="sub_1104"/>
      <w:bookmarkEnd w:id="18"/>
      <w:r>
        <w:t xml:space="preserve">4. В случае возможности амбулаторного лечения пациента обследование и лечение осуществляется под контролем инфекциониста </w:t>
      </w:r>
      <w:proofErr w:type="spellStart"/>
      <w:r>
        <w:t>КИЗа</w:t>
      </w:r>
      <w:proofErr w:type="spellEnd"/>
      <w:r>
        <w:t xml:space="preserve"> согласно утвержденным стандартам и действующим приказам по каждой инфекционной нозологии. При неэффективности проводимой терапии, ухудшении состояния, возникновения осложнений инфекционист </w:t>
      </w:r>
      <w:proofErr w:type="spellStart"/>
      <w:r>
        <w:t>КИЗа</w:t>
      </w:r>
      <w:proofErr w:type="spellEnd"/>
      <w:r>
        <w:t xml:space="preserve"> направляет пациента на госпитализацию в приемное отделение инфекционной больницы (ОИКБ) или инфекционное отделение в районе, обеспечивая надлежащую транспортировку и комплекс неотложных мероприятий при необходимости.</w:t>
      </w:r>
    </w:p>
    <w:p w:rsidR="00850063" w:rsidRDefault="00B56FF0">
      <w:bookmarkStart w:id="20" w:name="sub_1105"/>
      <w:bookmarkEnd w:id="19"/>
      <w:r>
        <w:t xml:space="preserve">5. </w:t>
      </w:r>
      <w:proofErr w:type="gramStart"/>
      <w:r>
        <w:t>В условиях стационара или отделений инфекционного профиля проводится необходимые изоляция, обследование (бактериологическое,</w:t>
      </w:r>
      <w:proofErr w:type="gramEnd"/>
    </w:p>
    <w:bookmarkEnd w:id="20"/>
    <w:p w:rsidR="00850063" w:rsidRDefault="00B56FF0">
      <w:r>
        <w:t xml:space="preserve">вирусологическое, серологическое, иммунологическое, </w:t>
      </w:r>
      <w:proofErr w:type="spellStart"/>
      <w:r>
        <w:t>общеклиническое</w:t>
      </w:r>
      <w:proofErr w:type="spellEnd"/>
      <w:r>
        <w:t>) согласно утвержденным стандартам и действующим приказам по каждой инфекционной нозологии, дифференциальная диагностика и лечение до улучшения, стабилизации состояния и/или полного клинического или клинико-бактериологического или вирусологического выздоровления.</w:t>
      </w:r>
    </w:p>
    <w:p w:rsidR="00850063" w:rsidRDefault="00B56FF0">
      <w:r>
        <w:rPr>
          <w:rStyle w:val="a3"/>
        </w:rPr>
        <w:t>Примечание</w:t>
      </w:r>
      <w:r>
        <w:t xml:space="preserve">: Независимо от уровня наблюдения (амбулаторного в </w:t>
      </w:r>
      <w:proofErr w:type="spellStart"/>
      <w:r>
        <w:t>КИЗе</w:t>
      </w:r>
      <w:proofErr w:type="spellEnd"/>
      <w:r>
        <w:t xml:space="preserve"> или стационарного в инфекционной больнице или отделениях инфекционного профиля) объем проводимого обследования для подтверждения или отмены диагноза инфекционного заболевания (бактериологическое, вирусологическое, серологическое, иммунологическое, </w:t>
      </w:r>
      <w:proofErr w:type="spellStart"/>
      <w:r>
        <w:t>общеклиническое</w:t>
      </w:r>
      <w:proofErr w:type="spellEnd"/>
      <w:r>
        <w:t>) должно соответствовать утвержденным стандартам и действующим приказам по каждой инфекционной нозологии.</w:t>
      </w:r>
    </w:p>
    <w:p w:rsidR="00850063" w:rsidRDefault="00B56FF0">
      <w:bookmarkStart w:id="21" w:name="sub_1106"/>
      <w:r>
        <w:t>6. В случае необходимости оказания реанимационных мероприятий взрослым с инфекционными заболеваниями пациенты госпитализируются в ОРИТ ОИКБ или реанимационные отделения областных больниц муниципальных образований Тюменской области. Инфекционисты областных больниц в случае необходимости имеют возможность консультаций со специалистами ОИКБ по телефону или очных консультаций с выездом консультанта на место силами Территориального Центра медицины катастроф в соответствии с приложением.</w:t>
      </w:r>
    </w:p>
    <w:p w:rsidR="00850063" w:rsidRDefault="00B56FF0">
      <w:bookmarkStart w:id="22" w:name="sub_1107"/>
      <w:bookmarkEnd w:id="21"/>
      <w:r>
        <w:t xml:space="preserve">7. В случае невозможности оказания медицинской специализированной помощи в условиях </w:t>
      </w:r>
      <w:r>
        <w:lastRenderedPageBreak/>
        <w:t>областных больниц муниципальных образований пациента транспортируют силами Территориального Центра медицины катастроф в ОИКБ по предварительной договоренности и/или после осмотра пациента консультантом.</w:t>
      </w:r>
    </w:p>
    <w:p w:rsidR="00850063" w:rsidRDefault="00B56FF0">
      <w:bookmarkStart w:id="23" w:name="sub_1108"/>
      <w:bookmarkEnd w:id="22"/>
      <w:r>
        <w:t xml:space="preserve">8. </w:t>
      </w:r>
      <w:proofErr w:type="gramStart"/>
      <w:r>
        <w:t>В ходе проведения дифференциальной диагностики пациента с признаками инфекционного заболевания с консультативной целью привлекаются специалисты ГБУЗ ТО "Центр профилактики и борьбы со СПИД" (для пациентов с ВИЧ-инфекцией), ГБУЗ ТО "Областной противотуберкулезный диспансер" (при подозрении на туберкулез), ГБУЗ ТО "Областной кожно-венерологический диспансер" (при подозрении на кожные заболевания), многопрофильных стационаров (педиатры, неврологи, хирурги различных специальностей и т.д.).</w:t>
      </w:r>
      <w:proofErr w:type="gramEnd"/>
    </w:p>
    <w:p w:rsidR="00850063" w:rsidRDefault="00B56FF0">
      <w:bookmarkStart w:id="24" w:name="sub_1109"/>
      <w:bookmarkEnd w:id="23"/>
      <w:r>
        <w:t xml:space="preserve">9. В случае отмены диагноза инфекционного заболевания и необходимости дальнейшего лечения пациент переводится на стационарное лечение в стационары </w:t>
      </w:r>
      <w:proofErr w:type="gramStart"/>
      <w:r>
        <w:t>г</w:t>
      </w:r>
      <w:proofErr w:type="gramEnd"/>
      <w:r>
        <w:t>. Тюмени или отделения областных больниц муниципальных образований Тюменской области по профилю.</w:t>
      </w:r>
    </w:p>
    <w:p w:rsidR="00850063" w:rsidRDefault="00B56FF0">
      <w:bookmarkStart w:id="25" w:name="sub_1110"/>
      <w:bookmarkEnd w:id="24"/>
      <w:r>
        <w:t xml:space="preserve">10. В случае улучшения состояния пациента, отказа от дальнейшего пребывания в стационаре (если отсутствует риск ухудшения), а также выздоровления информация о пациенте передается в поликлиники по месту жительства, для дальнейшего наблюдения врача-терапевта или инфекциониста </w:t>
      </w:r>
      <w:proofErr w:type="spellStart"/>
      <w:r>
        <w:t>КИЗа</w:t>
      </w:r>
      <w:proofErr w:type="spellEnd"/>
      <w:r>
        <w:t>.</w:t>
      </w:r>
    </w:p>
    <w:p w:rsidR="00850063" w:rsidRDefault="00B56FF0">
      <w:bookmarkStart w:id="26" w:name="sub_1111"/>
      <w:bookmarkEnd w:id="25"/>
      <w:r>
        <w:t xml:space="preserve">11. </w:t>
      </w:r>
      <w:proofErr w:type="gramStart"/>
      <w:r>
        <w:t xml:space="preserve">Пациенты, перенесшие инфекционные заболевания (вирусные гепатиты, дизентерия, сальмонеллез, </w:t>
      </w:r>
      <w:proofErr w:type="spellStart"/>
      <w:r>
        <w:t>псевдотуберкулез</w:t>
      </w:r>
      <w:proofErr w:type="spellEnd"/>
      <w:r>
        <w:t xml:space="preserve">, </w:t>
      </w:r>
      <w:proofErr w:type="spellStart"/>
      <w:r>
        <w:t>иерсиниозы</w:t>
      </w:r>
      <w:proofErr w:type="spellEnd"/>
      <w:r>
        <w:t>, менингиты, менингококковая инфекция, дифтерия, инфекционный мононуклеоз, геморрагические лихорадки и др.), подлежат диспансерному наблюдению.</w:t>
      </w:r>
      <w:proofErr w:type="gramEnd"/>
      <w:r>
        <w:t xml:space="preserve"> Сроки диспансерного наблюдения определены Санитарными правилами и приказами МЗ РФ по каждой инфекционной нозологии.</w:t>
      </w:r>
    </w:p>
    <w:p w:rsidR="00850063" w:rsidRDefault="00B56FF0">
      <w:bookmarkStart w:id="27" w:name="sub_1112"/>
      <w:bookmarkEnd w:id="26"/>
      <w:r>
        <w:t>12. В случае хронического течения инфекционного заболевания пациенты и подлежат длительному, а иногда пожизненному наблюдению в КИЗ поликлиник. При обострении хронического течения инфекционного заболевания и/или ухудшения состояния пациент госпитализируется в ОИКБ или инфекционное отделение областных больниц муниципальных образований Тюменской области.</w:t>
      </w:r>
    </w:p>
    <w:p w:rsidR="00850063" w:rsidRDefault="00B56FF0">
      <w:bookmarkStart w:id="28" w:name="sub_1113"/>
      <w:bookmarkEnd w:id="27"/>
      <w:r>
        <w:t>13. Консультативная помощь пациентам с глистными инвазиями осуществляется специалистами ФБУН "Тюменский НИИ краевой инфекционной патологии", которая носит рекомендательный характер и/или лечение в условиях дневного стационара.</w:t>
      </w:r>
    </w:p>
    <w:bookmarkEnd w:id="28"/>
    <w:p w:rsidR="00850063" w:rsidRDefault="00850063"/>
    <w:p w:rsidR="00850063" w:rsidRDefault="00B56FF0">
      <w:pPr>
        <w:jc w:val="right"/>
        <w:rPr>
          <w:rStyle w:val="a3"/>
          <w:rFonts w:ascii="Arial" w:hAnsi="Arial" w:cs="Arial"/>
        </w:rPr>
      </w:pPr>
      <w:bookmarkStart w:id="29" w:name="sub_1200"/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br/>
        <w:t>оказания медицинской помощи</w:t>
      </w:r>
      <w:r>
        <w:rPr>
          <w:rStyle w:val="a3"/>
          <w:rFonts w:ascii="Arial" w:hAnsi="Arial" w:cs="Arial"/>
        </w:rPr>
        <w:br/>
        <w:t>взрослому населению при инфекционных</w:t>
      </w:r>
      <w:r>
        <w:rPr>
          <w:rStyle w:val="a3"/>
          <w:rFonts w:ascii="Arial" w:hAnsi="Arial" w:cs="Arial"/>
        </w:rPr>
        <w:br/>
        <w:t xml:space="preserve">заболеваниях, утвержденному </w:t>
      </w:r>
      <w:hyperlink w:anchor="sub_0" w:history="1">
        <w:r>
          <w:rPr>
            <w:rStyle w:val="a4"/>
            <w:rFonts w:ascii="Arial" w:hAnsi="Arial" w:cs="Arial"/>
          </w:rPr>
          <w:t>приказом</w:t>
        </w:r>
      </w:hyperlink>
      <w:r>
        <w:rPr>
          <w:rStyle w:val="a3"/>
          <w:rFonts w:ascii="Arial" w:hAnsi="Arial" w:cs="Arial"/>
        </w:rPr>
        <w:br/>
        <w:t>Департамента 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14 июня 2018 г. N 376</w:t>
      </w:r>
    </w:p>
    <w:bookmarkEnd w:id="29"/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Направление N ______________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Серия ______________ N полиса ________________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Страховая компания _______________________________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Для направления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медицинской организации, направившей пациента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Ф.И.О. пациента: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Возраст ________________ Место работы, профессия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Адрес пациента: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Цель направления: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Пребывание на листке нетрудоспособности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последние 12 месяцев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Основной диагноз: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Основные данные о развитии и течении настоящего заболевания: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Данные  диагностических исследований и осмотра узких специалистов (с</w:t>
      </w:r>
      <w:proofErr w:type="gramEnd"/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указанием даты) </w:t>
      </w:r>
      <w:hyperlink w:anchor="sub_12111" w:history="1">
        <w:r>
          <w:rPr>
            <w:rStyle w:val="a4"/>
            <w:sz w:val="22"/>
            <w:szCs w:val="22"/>
          </w:rPr>
          <w:t>*</w:t>
        </w:r>
      </w:hyperlink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Лечебно-профилактические      мероприятия,    проводимые    больному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направившей медицинской организацией: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"____" _________________ 20____ г.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 ВК ________________________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Лечащий врач ___________________________</w:t>
      </w:r>
    </w:p>
    <w:p w:rsidR="00850063" w:rsidRDefault="00850063"/>
    <w:p w:rsidR="00850063" w:rsidRDefault="00B56FF0">
      <w:pPr>
        <w:pStyle w:val="a8"/>
        <w:rPr>
          <w:sz w:val="22"/>
          <w:szCs w:val="22"/>
        </w:rPr>
      </w:pPr>
      <w:bookmarkStart w:id="30" w:name="sub_12111"/>
      <w:r>
        <w:rPr>
          <w:sz w:val="22"/>
          <w:szCs w:val="22"/>
        </w:rPr>
        <w:t xml:space="preserve">     * -   в    направлении   необходимо  сделать  отметку  о  выполнении</w:t>
      </w:r>
    </w:p>
    <w:bookmarkEnd w:id="30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>исследований. Копии исследований выдаются на руки пациенту.</w:t>
      </w:r>
    </w:p>
    <w:p w:rsidR="00850063" w:rsidRDefault="00850063"/>
    <w:p w:rsidR="00850063" w:rsidRDefault="00B56FF0">
      <w:pPr>
        <w:jc w:val="right"/>
        <w:rPr>
          <w:rStyle w:val="a3"/>
          <w:rFonts w:ascii="Arial" w:hAnsi="Arial" w:cs="Arial"/>
        </w:rPr>
      </w:pPr>
      <w:bookmarkStart w:id="31" w:name="sub_1300"/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br/>
        <w:t>оказания медицинской помощи</w:t>
      </w:r>
      <w:r>
        <w:rPr>
          <w:rStyle w:val="a3"/>
          <w:rFonts w:ascii="Arial" w:hAnsi="Arial" w:cs="Arial"/>
        </w:rPr>
        <w:br/>
        <w:t>взрослому населению при инфекционных</w:t>
      </w:r>
      <w:r>
        <w:rPr>
          <w:rStyle w:val="a3"/>
          <w:rFonts w:ascii="Arial" w:hAnsi="Arial" w:cs="Arial"/>
        </w:rPr>
        <w:br/>
        <w:t xml:space="preserve">заболеваниях, утвержденному </w:t>
      </w:r>
      <w:hyperlink w:anchor="sub_0" w:history="1">
        <w:r>
          <w:rPr>
            <w:rStyle w:val="a4"/>
            <w:rFonts w:ascii="Arial" w:hAnsi="Arial" w:cs="Arial"/>
          </w:rPr>
          <w:t>приказом</w:t>
        </w:r>
      </w:hyperlink>
      <w:r>
        <w:rPr>
          <w:rStyle w:val="a3"/>
          <w:rFonts w:ascii="Arial" w:hAnsi="Arial" w:cs="Arial"/>
        </w:rPr>
        <w:br/>
        <w:t>Департамента здравоохранения</w:t>
      </w:r>
      <w:r>
        <w:rPr>
          <w:rStyle w:val="a3"/>
          <w:rFonts w:ascii="Arial" w:hAnsi="Arial" w:cs="Arial"/>
        </w:rPr>
        <w:br/>
        <w:t>Тюменской области</w:t>
      </w:r>
      <w:r>
        <w:rPr>
          <w:rStyle w:val="a3"/>
          <w:rFonts w:ascii="Arial" w:hAnsi="Arial" w:cs="Arial"/>
        </w:rPr>
        <w:br/>
        <w:t>от 14 июня 2018 г. N 376</w:t>
      </w:r>
    </w:p>
    <w:bookmarkEnd w:id="31"/>
    <w:p w:rsidR="00850063" w:rsidRDefault="00850063"/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Схема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3"/>
          <w:sz w:val="22"/>
          <w:szCs w:val="22"/>
        </w:rPr>
        <w:t xml:space="preserve"> маршрутизации при госпитализации пациентов</w:t>
      </w:r>
    </w:p>
    <w:p w:rsidR="00850063" w:rsidRDefault="00B56FF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с инфекционными заболеваниями</w:t>
      </w:r>
    </w:p>
    <w:p w:rsidR="00850063" w:rsidRDefault="008500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4060"/>
        <w:gridCol w:w="2520"/>
      </w:tblGrid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7"/>
              <w:jc w:val="center"/>
            </w:pPr>
            <w:r>
              <w:t>Прикрепленная территория обслуживания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7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063" w:rsidRDefault="00B56FF0">
            <w:pPr>
              <w:pStyle w:val="a7"/>
              <w:jc w:val="center"/>
            </w:pPr>
            <w:r>
              <w:t>При невозможности оказания медицинской помощи в условиях инфекционных отделений</w:t>
            </w: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 xml:space="preserve">Тюменский район </w:t>
            </w:r>
            <w:proofErr w:type="gramStart"/>
            <w:r>
              <w:t>г</w:t>
            </w:r>
            <w:proofErr w:type="gramEnd"/>
            <w:r>
              <w:t>. Тюмень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инфекционная клиническая больница"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инфекционная клиническая больница"</w:t>
            </w: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Вагайский</w:t>
            </w:r>
            <w:proofErr w:type="spellEnd"/>
            <w:r>
              <w:t xml:space="preserve"> район </w:t>
            </w:r>
            <w:proofErr w:type="spellStart"/>
            <w:r>
              <w:t>Тобольский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3"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Ишимский</w:t>
            </w:r>
            <w:proofErr w:type="spellEnd"/>
            <w:r>
              <w:t xml:space="preserve"> район </w:t>
            </w:r>
            <w:proofErr w:type="spellStart"/>
            <w:r>
              <w:t>Бердюжский</w:t>
            </w:r>
            <w:proofErr w:type="spellEnd"/>
            <w:r>
              <w:t xml:space="preserve"> район </w:t>
            </w:r>
            <w:proofErr w:type="spellStart"/>
            <w:r>
              <w:t>Викуловский</w:t>
            </w:r>
            <w:proofErr w:type="spellEnd"/>
            <w:r>
              <w:t xml:space="preserve"> район Абатский район </w:t>
            </w:r>
            <w:proofErr w:type="spellStart"/>
            <w:r>
              <w:t>Сорокинский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4"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Аромашевский</w:t>
            </w:r>
            <w:proofErr w:type="spellEnd"/>
            <w:r>
              <w:t xml:space="preserve"> район </w:t>
            </w:r>
            <w:proofErr w:type="spellStart"/>
            <w:r>
              <w:t>Армизонский</w:t>
            </w:r>
            <w:proofErr w:type="spellEnd"/>
            <w:r>
              <w:t xml:space="preserve"> район Омутинский район </w:t>
            </w:r>
            <w:proofErr w:type="spellStart"/>
            <w:r>
              <w:t>Голышмановский</w:t>
            </w:r>
            <w:proofErr w:type="spellEnd"/>
            <w:r>
              <w:t xml:space="preserve"> район </w:t>
            </w:r>
            <w:proofErr w:type="spellStart"/>
            <w:r>
              <w:t>Юргинский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11"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Заводоуковский</w:t>
            </w:r>
            <w:proofErr w:type="spellEnd"/>
            <w:r>
              <w:t xml:space="preserve"> район </w:t>
            </w:r>
            <w:proofErr w:type="spellStart"/>
            <w:r>
              <w:t>Упоровский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12"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Исетский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13"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 xml:space="preserve">Казанский район </w:t>
            </w:r>
            <w:proofErr w:type="spellStart"/>
            <w:r>
              <w:t>Сладковский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14"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Нижнетавдинский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15"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Уватский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20"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Ялуторовский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23"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063" w:rsidRDefault="00850063">
            <w:pPr>
              <w:pStyle w:val="a7"/>
            </w:pPr>
          </w:p>
        </w:tc>
      </w:tr>
      <w:tr w:rsidR="0085006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proofErr w:type="spellStart"/>
            <w:r>
              <w:t>Ярковский</w:t>
            </w:r>
            <w:proofErr w:type="spellEnd"/>
            <w:r>
              <w:t xml:space="preserve"> район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3" w:rsidRDefault="00B56FF0">
            <w:pPr>
              <w:pStyle w:val="a9"/>
            </w:pPr>
            <w:r>
              <w:t>ГБУЗ ТО "Областная больница N 24"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0063" w:rsidRDefault="00850063">
            <w:pPr>
              <w:pStyle w:val="a7"/>
            </w:pPr>
          </w:p>
        </w:tc>
      </w:tr>
    </w:tbl>
    <w:p w:rsidR="00B56FF0" w:rsidRDefault="00B56FF0"/>
    <w:sectPr w:rsidR="00B56FF0" w:rsidSect="00850063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CC" w:rsidRDefault="003540CC">
      <w:r>
        <w:separator/>
      </w:r>
    </w:p>
  </w:endnote>
  <w:endnote w:type="continuationSeparator" w:id="0">
    <w:p w:rsidR="003540CC" w:rsidRDefault="0035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85006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50063" w:rsidRDefault="0085006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0063" w:rsidRDefault="0085006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0063" w:rsidRDefault="0085006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B56FF0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269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B56FF0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D269A" w:rsidRPr="009D269A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CC" w:rsidRDefault="003540CC">
      <w:r>
        <w:separator/>
      </w:r>
    </w:p>
  </w:footnote>
  <w:footnote w:type="continuationSeparator" w:id="0">
    <w:p w:rsidR="003540CC" w:rsidRDefault="00354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65E"/>
    <w:rsid w:val="003540CC"/>
    <w:rsid w:val="00850063"/>
    <w:rsid w:val="009D269A"/>
    <w:rsid w:val="00B56FF0"/>
    <w:rsid w:val="00C9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0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5006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5006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500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5006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5006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85006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85006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85006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850063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8500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5006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500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006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58576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158576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158576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015857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15857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3242</Words>
  <Characters>18485</Characters>
  <Application>Microsoft Office Word</Application>
  <DocSecurity>0</DocSecurity>
  <Lines>154</Lines>
  <Paragraphs>43</Paragraphs>
  <ScaleCrop>false</ScaleCrop>
  <Company>НПП "Гарант-Сервис"</Company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Калугина</cp:lastModifiedBy>
  <cp:revision>3</cp:revision>
  <dcterms:created xsi:type="dcterms:W3CDTF">2022-10-25T03:55:00Z</dcterms:created>
  <dcterms:modified xsi:type="dcterms:W3CDTF">2022-11-02T05:27:00Z</dcterms:modified>
</cp:coreProperties>
</file>